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5FD" w:rsidRDefault="00A1638F">
      <w:pPr>
        <w:jc w:val="right"/>
        <w:rPr>
          <w:b/>
          <w:color w:val="000000"/>
          <w:sz w:val="24"/>
          <w:szCs w:val="24"/>
        </w:rPr>
      </w:pPr>
      <w:r>
        <w:rPr>
          <w:b/>
          <w:color w:val="000000"/>
          <w:sz w:val="24"/>
          <w:szCs w:val="24"/>
        </w:rPr>
        <w:t>V.07</w:t>
      </w:r>
    </w:p>
    <w:p w:rsidR="007B05FD" w:rsidRDefault="00A1638F">
      <w:pPr>
        <w:ind w:left="-851"/>
        <w:jc w:val="center"/>
        <w:rPr>
          <w:b/>
          <w:color w:val="000000"/>
          <w:sz w:val="24"/>
          <w:szCs w:val="24"/>
        </w:rPr>
      </w:pPr>
      <w:r>
        <w:rPr>
          <w:b/>
          <w:color w:val="000000"/>
          <w:sz w:val="24"/>
          <w:szCs w:val="24"/>
        </w:rPr>
        <w:t xml:space="preserve">Autorización de Acceso al Servicio Anywhere Portfolio </w:t>
      </w:r>
      <w:r w:rsidR="00BF0C6C">
        <w:rPr>
          <w:b/>
          <w:color w:val="000000"/>
          <w:sz w:val="24"/>
          <w:szCs w:val="24"/>
        </w:rPr>
        <w:t xml:space="preserve">- </w:t>
      </w:r>
      <w:r>
        <w:rPr>
          <w:b/>
          <w:color w:val="000000"/>
          <w:sz w:val="24"/>
          <w:szCs w:val="24"/>
        </w:rPr>
        <w:t>API BO</w:t>
      </w:r>
    </w:p>
    <w:p w:rsidR="007B05FD" w:rsidRDefault="00A1638F">
      <w:pPr>
        <w:spacing w:after="0"/>
        <w:ind w:left="-851" w:right="-285" w:hanging="2"/>
        <w:jc w:val="both"/>
      </w:pPr>
      <w:bookmarkStart w:id="0" w:name="_heading=h.gjdgxs" w:colFirst="0" w:colLast="0"/>
      <w:bookmarkEnd w:id="0"/>
      <w:r>
        <w:rPr>
          <w:b/>
        </w:rPr>
        <w:t xml:space="preserve">Marcar con una </w:t>
      </w:r>
      <w:r w:rsidR="00F53519">
        <w:rPr>
          <w:b/>
        </w:rPr>
        <w:t>cruz la opción que corresponda</w:t>
      </w:r>
      <w:r>
        <w:rPr>
          <w:b/>
        </w:rPr>
        <w:t>:</w:t>
      </w:r>
    </w:p>
    <w:p w:rsidR="007B05FD" w:rsidRDefault="00A1638F">
      <w:pPr>
        <w:spacing w:after="0"/>
        <w:ind w:left="-851" w:right="-285" w:hanging="2"/>
        <w:jc w:val="both"/>
      </w:pPr>
      <w:r>
        <w:rPr>
          <w:rFonts w:ascii="Cambria Math" w:eastAsia="Cambria Math" w:hAnsi="Cambria Math" w:cs="Cambria Math"/>
        </w:rPr>
        <w:t>⧠</w:t>
      </w:r>
      <w:r>
        <w:t xml:space="preserve"> Nuevo Usuario API</w:t>
      </w:r>
    </w:p>
    <w:p w:rsidR="007B05FD" w:rsidRDefault="00A1638F">
      <w:pPr>
        <w:spacing w:after="0"/>
        <w:ind w:left="-851" w:right="-285" w:hanging="2"/>
        <w:jc w:val="both"/>
      </w:pPr>
      <w:r>
        <w:rPr>
          <w:rFonts w:ascii="Cambria Math" w:eastAsia="Cambria Math" w:hAnsi="Cambria Math" w:cs="Cambria Math"/>
        </w:rPr>
        <w:t>⧠</w:t>
      </w:r>
      <w:r>
        <w:t xml:space="preserve"> Cambio de Responsable</w:t>
      </w:r>
    </w:p>
    <w:tbl>
      <w:tblPr>
        <w:tblStyle w:val="a0"/>
        <w:tblW w:w="10490"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7B05FD">
        <w:tc>
          <w:tcPr>
            <w:tcW w:w="10490" w:type="dxa"/>
          </w:tcPr>
          <w:p w:rsidR="007B05FD" w:rsidRDefault="00A1638F">
            <w:pPr>
              <w:rPr>
                <w:b/>
              </w:rPr>
            </w:pPr>
            <w:r>
              <w:rPr>
                <w:b/>
              </w:rPr>
              <w:t>1. Participante Matba Rofex</w:t>
            </w:r>
          </w:p>
        </w:tc>
      </w:tr>
      <w:tr w:rsidR="007B05FD">
        <w:tc>
          <w:tcPr>
            <w:tcW w:w="10490" w:type="dxa"/>
          </w:tcPr>
          <w:p w:rsidR="007B05FD" w:rsidRDefault="00A1638F">
            <w:r>
              <w:t>Razón Social:</w:t>
            </w:r>
          </w:p>
        </w:tc>
      </w:tr>
      <w:tr w:rsidR="007B05FD">
        <w:tc>
          <w:tcPr>
            <w:tcW w:w="10490" w:type="dxa"/>
          </w:tcPr>
          <w:p w:rsidR="007B05FD" w:rsidRDefault="00A1638F">
            <w:r>
              <w:t>CUIT:</w:t>
            </w:r>
          </w:p>
        </w:tc>
      </w:tr>
      <w:tr w:rsidR="007B05FD">
        <w:tc>
          <w:tcPr>
            <w:tcW w:w="10490" w:type="dxa"/>
          </w:tcPr>
          <w:p w:rsidR="007B05FD" w:rsidRDefault="00A1638F">
            <w:r>
              <w:t>Domicilio:</w:t>
            </w:r>
          </w:p>
        </w:tc>
      </w:tr>
      <w:tr w:rsidR="007B05FD">
        <w:tc>
          <w:tcPr>
            <w:tcW w:w="10490" w:type="dxa"/>
          </w:tcPr>
          <w:p w:rsidR="007B05FD" w:rsidRDefault="00A1638F">
            <w:r>
              <w:t>Nombre y Apellido del Apoderado del Participante:</w:t>
            </w:r>
          </w:p>
        </w:tc>
      </w:tr>
      <w:tr w:rsidR="007B05FD">
        <w:tc>
          <w:tcPr>
            <w:tcW w:w="10490" w:type="dxa"/>
          </w:tcPr>
          <w:p w:rsidR="007B05FD" w:rsidRDefault="00A1638F">
            <w:r>
              <w:t>CUIT:</w:t>
            </w:r>
          </w:p>
        </w:tc>
      </w:tr>
      <w:tr w:rsidR="007B05FD">
        <w:tc>
          <w:tcPr>
            <w:tcW w:w="10490" w:type="dxa"/>
          </w:tcPr>
          <w:p w:rsidR="007B05FD" w:rsidRDefault="00A1638F">
            <w:pPr>
              <w:rPr>
                <w:b/>
              </w:rPr>
            </w:pPr>
            <w:r>
              <w:rPr>
                <w:b/>
              </w:rPr>
              <w:t>2. Responsable</w:t>
            </w:r>
          </w:p>
        </w:tc>
      </w:tr>
      <w:tr w:rsidR="007B05FD">
        <w:tc>
          <w:tcPr>
            <w:tcW w:w="10490" w:type="dxa"/>
          </w:tcPr>
          <w:p w:rsidR="007B05FD" w:rsidRDefault="00A1638F">
            <w:r>
              <w:t>Nombre y Apellido</w:t>
            </w:r>
            <w:r w:rsidR="00F53519">
              <w:t>:</w:t>
            </w:r>
          </w:p>
        </w:tc>
      </w:tr>
      <w:tr w:rsidR="007B05FD">
        <w:tc>
          <w:tcPr>
            <w:tcW w:w="10490" w:type="dxa"/>
          </w:tcPr>
          <w:p w:rsidR="007B05FD" w:rsidRDefault="00A1638F">
            <w:r>
              <w:t>CUIT:</w:t>
            </w:r>
          </w:p>
        </w:tc>
      </w:tr>
      <w:tr w:rsidR="007B05FD">
        <w:tc>
          <w:tcPr>
            <w:tcW w:w="10490" w:type="dxa"/>
          </w:tcPr>
          <w:p w:rsidR="007B05FD" w:rsidRDefault="00A1638F">
            <w:r>
              <w:t>Domicilio:</w:t>
            </w:r>
            <w:bookmarkStart w:id="1" w:name="_GoBack"/>
            <w:bookmarkEnd w:id="1"/>
          </w:p>
        </w:tc>
      </w:tr>
      <w:tr w:rsidR="007B05FD">
        <w:tc>
          <w:tcPr>
            <w:tcW w:w="10490" w:type="dxa"/>
          </w:tcPr>
          <w:p w:rsidR="007B05FD" w:rsidRDefault="00A1638F">
            <w:r>
              <w:t>Teléfono / Celular:</w:t>
            </w:r>
          </w:p>
        </w:tc>
      </w:tr>
      <w:tr w:rsidR="007B05FD">
        <w:tc>
          <w:tcPr>
            <w:tcW w:w="10490" w:type="dxa"/>
          </w:tcPr>
          <w:p w:rsidR="007B05FD" w:rsidRDefault="00A1638F">
            <w:r>
              <w:t>Correo electrónico:</w:t>
            </w:r>
          </w:p>
        </w:tc>
      </w:tr>
      <w:tr w:rsidR="007B05FD">
        <w:tc>
          <w:tcPr>
            <w:tcW w:w="10490" w:type="dxa"/>
          </w:tcPr>
          <w:p w:rsidR="007B05FD" w:rsidRDefault="00A1638F">
            <w:r>
              <w:t>Usuario(*):</w:t>
            </w:r>
          </w:p>
        </w:tc>
      </w:tr>
    </w:tbl>
    <w:p w:rsidR="007B05FD" w:rsidRDefault="00A1638F">
      <w:pPr>
        <w:ind w:left="-851"/>
        <w:jc w:val="both"/>
        <w:rPr>
          <w:sz w:val="16"/>
          <w:szCs w:val="16"/>
        </w:rPr>
      </w:pPr>
      <w:r>
        <w:rPr>
          <w:sz w:val="16"/>
          <w:szCs w:val="16"/>
        </w:rPr>
        <w:t xml:space="preserve">(*) Poner de nombre de usuario a las letras </w:t>
      </w:r>
      <w:r>
        <w:rPr>
          <w:b/>
          <w:sz w:val="16"/>
          <w:szCs w:val="16"/>
        </w:rPr>
        <w:t>ws</w:t>
      </w:r>
      <w:r>
        <w:rPr>
          <w:sz w:val="16"/>
          <w:szCs w:val="16"/>
        </w:rPr>
        <w:t xml:space="preserve"> (en minúscula) seguidas del nombre del Participante (</w:t>
      </w:r>
      <w:r>
        <w:rPr>
          <w:b/>
          <w:i/>
          <w:sz w:val="16"/>
          <w:szCs w:val="16"/>
        </w:rPr>
        <w:t>por ejemplo wsNOMBREPARTICIPANTE</w:t>
      </w:r>
      <w:r>
        <w:rPr>
          <w:sz w:val="16"/>
          <w:szCs w:val="16"/>
        </w:rPr>
        <w:t>).</w:t>
      </w:r>
    </w:p>
    <w:p w:rsidR="007B05FD" w:rsidRDefault="00A1638F">
      <w:pPr>
        <w:spacing w:after="0"/>
        <w:ind w:left="-851"/>
        <w:jc w:val="both"/>
        <w:rPr>
          <w:sz w:val="16"/>
          <w:szCs w:val="16"/>
        </w:rPr>
      </w:pPr>
      <w:r>
        <w:rPr>
          <w:sz w:val="16"/>
          <w:szCs w:val="16"/>
        </w:rPr>
        <w:t>Por medio de la presente, el Participante solicita a Argentina Clearing y Registro S.A. (en adelante Argentina Clearing) acceso al servicio API BO de propiedad de Argentina Clearing y Registro S.A. (en adelante, el servicio) mediante el Usuario que se detalla en la presente y bajo responsabilidad exclusiva del Participante, en un todo de acuerdo con las modalidades operativas vigentes y las que se habiliten en el  futuro.</w:t>
      </w:r>
    </w:p>
    <w:p w:rsidR="007B05FD" w:rsidRDefault="00A1638F">
      <w:pPr>
        <w:spacing w:after="0"/>
        <w:ind w:left="-851"/>
        <w:jc w:val="both"/>
        <w:rPr>
          <w:sz w:val="16"/>
          <w:szCs w:val="16"/>
        </w:rPr>
      </w:pPr>
      <w:r>
        <w:rPr>
          <w:sz w:val="16"/>
          <w:szCs w:val="16"/>
        </w:rPr>
        <w:t>El acceso al servicio se hará a través del Usuario autorizado y mediante el uso de la clave asignada al Usuario, la cual se utilizará siguiendo el marco de seguridad que a continuación se detalla:</w:t>
      </w:r>
    </w:p>
    <w:p w:rsidR="007B05FD" w:rsidRPr="00F53519" w:rsidRDefault="00A1638F">
      <w:pPr>
        <w:spacing w:after="0"/>
        <w:ind w:left="-851"/>
        <w:jc w:val="both"/>
        <w:rPr>
          <w:i/>
          <w:sz w:val="16"/>
          <w:szCs w:val="16"/>
        </w:rPr>
      </w:pPr>
      <w:r w:rsidRPr="00F53519">
        <w:rPr>
          <w:i/>
          <w:sz w:val="16"/>
          <w:szCs w:val="16"/>
        </w:rPr>
        <w:t>●La clave debe ser definida con una longitud mínima de 8 caracteres.</w:t>
      </w:r>
    </w:p>
    <w:p w:rsidR="007B05FD" w:rsidRPr="00F53519" w:rsidRDefault="00A1638F">
      <w:pPr>
        <w:spacing w:after="0"/>
        <w:ind w:left="-851"/>
        <w:jc w:val="both"/>
        <w:rPr>
          <w:i/>
          <w:sz w:val="16"/>
          <w:szCs w:val="16"/>
        </w:rPr>
      </w:pPr>
      <w:r w:rsidRPr="00F53519">
        <w:rPr>
          <w:i/>
          <w:sz w:val="16"/>
          <w:szCs w:val="16"/>
        </w:rPr>
        <w:t>●La clave debe permanecer encriptada en archivos ocultos y protegidos.</w:t>
      </w:r>
    </w:p>
    <w:p w:rsidR="007B05FD" w:rsidRPr="00F53519" w:rsidRDefault="00A1638F">
      <w:pPr>
        <w:spacing w:after="0"/>
        <w:ind w:left="-851"/>
        <w:jc w:val="both"/>
        <w:rPr>
          <w:i/>
          <w:sz w:val="16"/>
          <w:szCs w:val="16"/>
        </w:rPr>
      </w:pPr>
      <w:r w:rsidRPr="00F53519">
        <w:rPr>
          <w:i/>
          <w:sz w:val="16"/>
          <w:szCs w:val="16"/>
        </w:rPr>
        <w:t>●La clave debe cambiarse obligatoriamente la primera vez que el usuario ingrese al sistema.</w:t>
      </w:r>
    </w:p>
    <w:p w:rsidR="007B05FD" w:rsidRPr="00F53519" w:rsidRDefault="00A1638F">
      <w:pPr>
        <w:spacing w:after="0"/>
        <w:ind w:left="-851"/>
        <w:jc w:val="both"/>
        <w:rPr>
          <w:i/>
          <w:sz w:val="16"/>
          <w:szCs w:val="16"/>
        </w:rPr>
      </w:pPr>
      <w:r w:rsidRPr="00F53519">
        <w:rPr>
          <w:i/>
          <w:sz w:val="16"/>
          <w:szCs w:val="16"/>
        </w:rPr>
        <w:t>●Las contraseñas deben consistir como mínimo de una combinación de por lo menos tres de los siguientes requisitos: una a más letras en mayúscula; uno o  más dígitos; caracteres especiales no alfanuméricos (por ejemplo -, *, / o +); no contener tres o más caracteres del nombre de cuenta del usuario.</w:t>
      </w:r>
    </w:p>
    <w:p w:rsidR="007B05FD" w:rsidRPr="00F53519" w:rsidRDefault="00A1638F">
      <w:pPr>
        <w:spacing w:after="0"/>
        <w:ind w:left="-851"/>
        <w:jc w:val="both"/>
        <w:rPr>
          <w:i/>
          <w:sz w:val="16"/>
          <w:szCs w:val="16"/>
        </w:rPr>
      </w:pPr>
      <w:r w:rsidRPr="00F53519">
        <w:rPr>
          <w:i/>
          <w:sz w:val="16"/>
          <w:szCs w:val="16"/>
        </w:rPr>
        <w:t>●Las contraseñas deben ser protegidas de divulgación (por ejemplo, cifradas, indexadas) durante la transmisión y el almacenamiento.</w:t>
      </w:r>
    </w:p>
    <w:p w:rsidR="007B05FD" w:rsidRPr="00F53519" w:rsidRDefault="00A1638F">
      <w:pPr>
        <w:spacing w:after="0"/>
        <w:ind w:left="-851"/>
        <w:jc w:val="both"/>
        <w:rPr>
          <w:i/>
          <w:sz w:val="16"/>
          <w:szCs w:val="16"/>
        </w:rPr>
      </w:pPr>
      <w:r w:rsidRPr="00F53519">
        <w:rPr>
          <w:i/>
          <w:sz w:val="16"/>
          <w:szCs w:val="16"/>
        </w:rPr>
        <w:t>●Los sistemas no deben permitir la creación de una contraseña con los mismos caracteres que el del usuario-ID asociado con esa contraseña.</w:t>
      </w:r>
    </w:p>
    <w:p w:rsidR="007B05FD" w:rsidRPr="00F53519" w:rsidRDefault="00A1638F">
      <w:pPr>
        <w:spacing w:after="0"/>
        <w:ind w:left="-851"/>
        <w:jc w:val="both"/>
        <w:rPr>
          <w:i/>
          <w:sz w:val="16"/>
          <w:szCs w:val="16"/>
        </w:rPr>
      </w:pPr>
      <w:r w:rsidRPr="00F53519">
        <w:rPr>
          <w:i/>
          <w:sz w:val="16"/>
          <w:szCs w:val="16"/>
        </w:rPr>
        <w:t>●La administración de contraseñas requiere privilegios de administrador.</w:t>
      </w:r>
    </w:p>
    <w:p w:rsidR="007B05FD" w:rsidRPr="00F53519" w:rsidRDefault="00A1638F">
      <w:pPr>
        <w:spacing w:after="0"/>
        <w:ind w:left="-851"/>
        <w:jc w:val="both"/>
        <w:rPr>
          <w:i/>
          <w:sz w:val="16"/>
          <w:szCs w:val="16"/>
        </w:rPr>
      </w:pPr>
      <w:r w:rsidRPr="00F53519">
        <w:rPr>
          <w:i/>
          <w:sz w:val="16"/>
          <w:szCs w:val="16"/>
        </w:rPr>
        <w:t>●Las cuentas de administración y las contraseñas deben ser únicas para cada sistema y/o aplicación.</w:t>
      </w:r>
    </w:p>
    <w:p w:rsidR="007B05FD" w:rsidRDefault="00A1638F">
      <w:pPr>
        <w:spacing w:after="0" w:line="240" w:lineRule="auto"/>
        <w:ind w:left="-851"/>
        <w:jc w:val="both"/>
        <w:rPr>
          <w:sz w:val="16"/>
          <w:szCs w:val="16"/>
        </w:rPr>
      </w:pPr>
      <w:r>
        <w:rPr>
          <w:sz w:val="16"/>
          <w:szCs w:val="16"/>
        </w:rPr>
        <w:t>Asimismo, el Participante autoriza a Argentina Clearing y Registro S.A.  por medio de la presente a entregar la clave por email a la dirección detallada en el punto 2. El Responsable se compromete a partir de la recepción de la clave a extremar las medidas que resulten necesarias a fin de cumplir con el marco de seguridad indicado precedentemente y resguardar su confidencialidad y confiabilidad. Entendemos que Argentina Clearing y Registro S.A. podrá modificar las características en cuanto al equipamiento (hardware, software, conectividad, funcionamiento, etc.), así como modificar y/o suprimir alguno o algunos de los servicios, informando dichos cambios al Responsable con un mínimo de 10 días de anticipación. El Participante entiende y acepta que si por cualquier causa vinculada a factores materiales, técnicos y humanos, y en todos los supuestos de caso fortuito o de fuerza mayor, el servicio no pueda ser prestado, o si en razón de la necesidad de realizar tareas de reparación y/o mantenimiento de todo o parte de los elementos que integran el servicio, éste deba ser discontinuado, Argentina Clearing y Registro S.A no tendrá que abonar por ello indemnización de ninguna especie. Asimismo, el Participante entiende que dado que el servicio es provisto por Argentina Clearing y Registro S.A. al Participante en forma gratuita, ésta se reserva el derecho modificar el alcance y/o condiciones en que se presta el servicio y/o la facultad para dejar de prestar el servicio en cualquier momento notificando al Participante con un mínimo de 10 días de anticipación sin obligación de indemnizar al Participante ni de sustituir el mismo por otro servicio. La presente autorización no podrá ser cedida ni transferida como así tampoco los derechos que surgen de la misma.</w:t>
      </w:r>
    </w:p>
    <w:p w:rsidR="007B05FD" w:rsidRPr="00A95C9A" w:rsidRDefault="00A1638F" w:rsidP="00A95C9A">
      <w:pPr>
        <w:spacing w:line="360" w:lineRule="auto"/>
        <w:ind w:left="-851"/>
        <w:rPr>
          <w:b/>
          <w:sz w:val="24"/>
          <w:szCs w:val="24"/>
        </w:rPr>
      </w:pPr>
      <w:r>
        <w:rPr>
          <w:b/>
          <w:sz w:val="24"/>
          <w:szCs w:val="24"/>
        </w:rPr>
        <w:t>Fecha:</w:t>
      </w:r>
    </w:p>
    <w:p w:rsidR="007B05FD" w:rsidRDefault="007B05FD">
      <w:pPr>
        <w:ind w:left="-851"/>
        <w:rPr>
          <w:sz w:val="24"/>
          <w:szCs w:val="24"/>
        </w:rPr>
      </w:pPr>
    </w:p>
    <w:p w:rsidR="007B05FD" w:rsidRDefault="00F53519">
      <w:pPr>
        <w:ind w:left="-851"/>
        <w:jc w:val="center"/>
        <w:rPr>
          <w:b/>
          <w:sz w:val="18"/>
          <w:szCs w:val="18"/>
        </w:rPr>
      </w:pPr>
      <w:r>
        <w:rPr>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1984375</wp:posOffset>
                </wp:positionH>
                <wp:positionV relativeFrom="paragraph">
                  <wp:posOffset>206163</wp:posOffset>
                </wp:positionV>
                <wp:extent cx="1629834" cy="4234"/>
                <wp:effectExtent l="0" t="0" r="27940" b="34290"/>
                <wp:wrapNone/>
                <wp:docPr id="1" name="Conector recto 1"/>
                <wp:cNvGraphicFramePr/>
                <a:graphic xmlns:a="http://schemas.openxmlformats.org/drawingml/2006/main">
                  <a:graphicData uri="http://schemas.microsoft.com/office/word/2010/wordprocessingShape">
                    <wps:wsp>
                      <wps:cNvCnPr/>
                      <wps:spPr>
                        <a:xfrm>
                          <a:off x="0" y="0"/>
                          <a:ext cx="1629834" cy="42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FBDF5"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6.25pt" to="284.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" strokecolor="black [3213]" strokeweight=".5pt">
                <v:stroke joinstyle="miter"/>
              </v:line>
            </w:pict>
          </mc:Fallback>
        </mc:AlternateContent>
      </w:r>
    </w:p>
    <w:p w:rsidR="007B05FD" w:rsidRDefault="00A1638F">
      <w:pPr>
        <w:ind w:left="-851"/>
        <w:jc w:val="center"/>
        <w:rPr>
          <w:b/>
          <w:sz w:val="18"/>
          <w:szCs w:val="18"/>
        </w:rPr>
      </w:pPr>
      <w:r>
        <w:rPr>
          <w:b/>
          <w:sz w:val="18"/>
          <w:szCs w:val="18"/>
        </w:rPr>
        <w:t>Firma y Aclaración de Apoderado</w:t>
      </w:r>
    </w:p>
    <w:p w:rsidR="007B05FD" w:rsidRPr="00A95C9A" w:rsidRDefault="00A1638F">
      <w:pPr>
        <w:ind w:left="-851"/>
        <w:jc w:val="both"/>
        <w:rPr>
          <w:b/>
          <w:sz w:val="16"/>
          <w:szCs w:val="18"/>
        </w:rPr>
      </w:pPr>
      <w:r w:rsidRPr="00A95C9A">
        <w:rPr>
          <w:sz w:val="16"/>
          <w:szCs w:val="18"/>
        </w:rPr>
        <w:t xml:space="preserve">"Quien/es suscribe/n manifiesta/n su conformidad respecto de la Política de Protección de Datos Personales publicada en </w:t>
      </w:r>
      <w:hyperlink r:id="rId7">
        <w:r w:rsidRPr="00A95C9A">
          <w:rPr>
            <w:color w:val="0563C1"/>
            <w:sz w:val="16"/>
            <w:szCs w:val="18"/>
            <w:u w:val="single"/>
          </w:rPr>
          <w:t>www.matbarofex.com.ar</w:t>
        </w:r>
      </w:hyperlink>
      <w:r w:rsidRPr="00A95C9A">
        <w:rPr>
          <w:sz w:val="16"/>
          <w:szCs w:val="18"/>
        </w:rPr>
        <w:t xml:space="preserve"> y en </w:t>
      </w:r>
      <w:hyperlink r:id="rId8">
        <w:r w:rsidRPr="00A95C9A">
          <w:rPr>
            <w:color w:val="0563C1"/>
            <w:sz w:val="16"/>
            <w:szCs w:val="18"/>
            <w:u w:val="single"/>
          </w:rPr>
          <w:t>www.argentinaclearing.com.ar</w:t>
        </w:r>
      </w:hyperlink>
      <w:r w:rsidRPr="00A95C9A">
        <w:rPr>
          <w:sz w:val="16"/>
          <w:szCs w:val="18"/>
        </w:rPr>
        <w:t xml:space="preserve"> y con los derechos y obligaciones allí establecidos."</w:t>
      </w:r>
    </w:p>
    <w:sectPr w:rsidR="007B05FD" w:rsidRPr="00A95C9A">
      <w:headerReference w:type="default" r:id="rId9"/>
      <w:footerReference w:type="default" r:id="rId10"/>
      <w:pgSz w:w="11906" w:h="16838"/>
      <w:pgMar w:top="993" w:right="566" w:bottom="1417" w:left="1701" w:header="284" w:footer="2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E7D" w:rsidRDefault="00BF3E7D">
      <w:pPr>
        <w:spacing w:after="0" w:line="240" w:lineRule="auto"/>
      </w:pPr>
      <w:r>
        <w:separator/>
      </w:r>
    </w:p>
  </w:endnote>
  <w:endnote w:type="continuationSeparator" w:id="0">
    <w:p w:rsidR="00BF3E7D" w:rsidRDefault="00BF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FD" w:rsidRPr="00A95C9A" w:rsidRDefault="00A1638F" w:rsidP="00A95C9A">
    <w:pPr>
      <w:tabs>
        <w:tab w:val="right" w:pos="8478"/>
      </w:tabs>
      <w:spacing w:after="0" w:line="240" w:lineRule="auto"/>
      <w:ind w:right="1559"/>
      <w:jc w:val="center"/>
      <w:rPr>
        <w:rFonts w:asciiTheme="minorHAnsi" w:eastAsia="Helvetica Neue" w:hAnsiTheme="minorHAnsi" w:cstheme="minorHAnsi"/>
        <w:sz w:val="16"/>
        <w:szCs w:val="16"/>
      </w:rPr>
    </w:pPr>
    <w:r w:rsidRPr="00A95C9A">
      <w:rPr>
        <w:rFonts w:asciiTheme="minorHAnsi" w:eastAsia="Helvetica Neue" w:hAnsiTheme="minorHAnsi" w:cstheme="minorHAnsi"/>
        <w:sz w:val="16"/>
        <w:szCs w:val="16"/>
      </w:rPr>
      <w:t>Matba Rofex S.A. Mercado registrado ante CNV bajo el Nº de Matrícula 13</w:t>
    </w:r>
  </w:p>
  <w:p w:rsidR="007B05FD" w:rsidRPr="00A95C9A" w:rsidRDefault="00A1638F" w:rsidP="00A95C9A">
    <w:pPr>
      <w:tabs>
        <w:tab w:val="right" w:pos="8478"/>
      </w:tabs>
      <w:spacing w:after="0" w:line="240" w:lineRule="auto"/>
      <w:ind w:right="1559"/>
      <w:jc w:val="center"/>
      <w:rPr>
        <w:rFonts w:asciiTheme="minorHAnsi" w:eastAsia="Helvetica Neue" w:hAnsiTheme="minorHAnsi" w:cstheme="minorHAnsi"/>
        <w:sz w:val="16"/>
        <w:szCs w:val="16"/>
      </w:rPr>
    </w:pPr>
    <w:r w:rsidRPr="00A95C9A">
      <w:rPr>
        <w:rFonts w:asciiTheme="minorHAnsi" w:eastAsia="Helvetica Neue" w:hAnsiTheme="minorHAnsi" w:cstheme="minorHAnsi"/>
        <w:sz w:val="16"/>
        <w:szCs w:val="16"/>
      </w:rPr>
      <w:t>Argentina Clearing y Registro S.A. Cámara Compensadora registrada ante CNV bajo el N° de Matrícula 1018</w:t>
    </w:r>
  </w:p>
  <w:p w:rsidR="007B05FD" w:rsidRPr="00A95C9A" w:rsidRDefault="00A1638F" w:rsidP="00A95C9A">
    <w:pPr>
      <w:tabs>
        <w:tab w:val="right" w:pos="8478"/>
      </w:tabs>
      <w:spacing w:after="0" w:line="240" w:lineRule="auto"/>
      <w:ind w:right="1559"/>
      <w:jc w:val="center"/>
      <w:rPr>
        <w:rFonts w:asciiTheme="minorHAnsi" w:eastAsia="Helvetica Neue" w:hAnsiTheme="minorHAnsi" w:cstheme="minorHAnsi"/>
        <w:color w:val="6D7C79"/>
        <w:sz w:val="16"/>
        <w:szCs w:val="16"/>
      </w:rPr>
    </w:pPr>
    <w:r w:rsidRPr="00A95C9A">
      <w:rPr>
        <w:rFonts w:asciiTheme="minorHAnsi" w:eastAsia="Helvetica Neue" w:hAnsiTheme="minorHAnsi" w:cstheme="minorHAnsi"/>
        <w:b/>
        <w:color w:val="7030A0"/>
        <w:sz w:val="16"/>
        <w:szCs w:val="16"/>
      </w:rPr>
      <w:t>Rosario:</w:t>
    </w:r>
    <w:r w:rsidRPr="00A95C9A">
      <w:rPr>
        <w:rFonts w:asciiTheme="minorHAnsi" w:eastAsia="Helvetica Neue" w:hAnsiTheme="minorHAnsi" w:cstheme="minorHAnsi"/>
        <w:color w:val="6D7C79"/>
        <w:sz w:val="16"/>
        <w:szCs w:val="16"/>
      </w:rPr>
      <w:t xml:space="preserve"> </w:t>
    </w:r>
    <w:r w:rsidRPr="00A95C9A">
      <w:rPr>
        <w:rFonts w:asciiTheme="minorHAnsi" w:eastAsia="Helvetica Neue" w:hAnsiTheme="minorHAnsi" w:cstheme="minorHAnsi"/>
        <w:sz w:val="16"/>
        <w:szCs w:val="16"/>
      </w:rPr>
      <w:t>Paraguay 777 Piso 15, S2000CVO, Argentina I Tel.: +54 341 5302900</w:t>
    </w:r>
  </w:p>
  <w:p w:rsidR="007B05FD" w:rsidRPr="00A95C9A" w:rsidRDefault="00A1638F" w:rsidP="00A95C9A">
    <w:pPr>
      <w:spacing w:after="0" w:line="240" w:lineRule="auto"/>
      <w:ind w:right="1559"/>
      <w:jc w:val="center"/>
      <w:rPr>
        <w:rFonts w:asciiTheme="minorHAnsi" w:eastAsia="Helvetica Neue" w:hAnsiTheme="minorHAnsi" w:cstheme="minorHAnsi"/>
        <w:color w:val="6D7C79"/>
        <w:sz w:val="16"/>
        <w:szCs w:val="16"/>
      </w:rPr>
    </w:pPr>
    <w:r w:rsidRPr="00A95C9A">
      <w:rPr>
        <w:rFonts w:asciiTheme="minorHAnsi" w:eastAsia="Helvetica Neue" w:hAnsiTheme="minorHAnsi" w:cstheme="minorHAnsi"/>
        <w:b/>
        <w:color w:val="7030A0"/>
        <w:sz w:val="16"/>
        <w:szCs w:val="16"/>
      </w:rPr>
      <w:t>Buenos Aires:</w:t>
    </w:r>
    <w:r w:rsidRPr="00A95C9A">
      <w:rPr>
        <w:rFonts w:asciiTheme="minorHAnsi" w:eastAsia="Helvetica Neue" w:hAnsiTheme="minorHAnsi" w:cstheme="minorHAnsi"/>
        <w:color w:val="7030A0"/>
        <w:sz w:val="16"/>
        <w:szCs w:val="16"/>
      </w:rPr>
      <w:t xml:space="preserve"> </w:t>
    </w:r>
    <w:r w:rsidRPr="00A95C9A">
      <w:rPr>
        <w:rFonts w:asciiTheme="minorHAnsi" w:eastAsia="Helvetica Neue" w:hAnsiTheme="minorHAnsi" w:cstheme="minorHAnsi"/>
        <w:sz w:val="16"/>
        <w:szCs w:val="16"/>
      </w:rPr>
      <w:t xml:space="preserve">Bouchard 454 Piso 5, C1106ABF, Argentina I Tel.: +54 11 43123180 </w:t>
    </w:r>
  </w:p>
  <w:p w:rsidR="007B05FD" w:rsidRPr="00A95C9A" w:rsidRDefault="00BF3E7D" w:rsidP="00A95C9A">
    <w:pPr>
      <w:spacing w:after="0" w:line="240" w:lineRule="auto"/>
      <w:ind w:right="1559"/>
      <w:jc w:val="center"/>
      <w:rPr>
        <w:rFonts w:asciiTheme="minorHAnsi" w:eastAsia="Helvetica Neue" w:hAnsiTheme="minorHAnsi" w:cstheme="minorHAnsi"/>
        <w:color w:val="6D7C79"/>
        <w:sz w:val="16"/>
        <w:szCs w:val="16"/>
      </w:rPr>
    </w:pPr>
    <w:hyperlink r:id="rId1">
      <w:r w:rsidR="00A1638F" w:rsidRPr="00A95C9A">
        <w:rPr>
          <w:rFonts w:asciiTheme="minorHAnsi" w:eastAsia="Helvetica Neue" w:hAnsiTheme="minorHAnsi" w:cstheme="minorHAnsi"/>
          <w:color w:val="0000FF"/>
          <w:sz w:val="16"/>
          <w:szCs w:val="16"/>
          <w:u w:val="single"/>
        </w:rPr>
        <w:t>www.matbarofex.com.ar</w:t>
      </w:r>
    </w:hyperlink>
  </w:p>
  <w:p w:rsidR="00A95C9A" w:rsidRPr="00A95C9A" w:rsidRDefault="00BF3E7D" w:rsidP="00A95C9A">
    <w:pPr>
      <w:spacing w:after="0" w:line="240" w:lineRule="auto"/>
      <w:ind w:right="1559"/>
      <w:jc w:val="center"/>
      <w:rPr>
        <w:rFonts w:asciiTheme="minorHAnsi" w:eastAsia="Helvetica Neue" w:hAnsiTheme="minorHAnsi" w:cstheme="minorHAnsi"/>
        <w:color w:val="6D7C79"/>
        <w:sz w:val="16"/>
        <w:szCs w:val="16"/>
      </w:rPr>
    </w:pPr>
    <w:hyperlink r:id="rId2">
      <w:r w:rsidR="00A1638F" w:rsidRPr="00A95C9A">
        <w:rPr>
          <w:rFonts w:asciiTheme="minorHAnsi" w:eastAsia="Helvetica Neue" w:hAnsiTheme="minorHAnsi" w:cstheme="minorHAnsi"/>
          <w:color w:val="0000FF"/>
          <w:sz w:val="16"/>
          <w:szCs w:val="16"/>
          <w:u w:val="single"/>
        </w:rPr>
        <w:t>www.argentinaclearing.com.ar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E7D" w:rsidRDefault="00BF3E7D">
      <w:pPr>
        <w:spacing w:after="0" w:line="240" w:lineRule="auto"/>
      </w:pPr>
      <w:r>
        <w:separator/>
      </w:r>
    </w:p>
  </w:footnote>
  <w:footnote w:type="continuationSeparator" w:id="0">
    <w:p w:rsidR="00BF3E7D" w:rsidRDefault="00BF3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FD" w:rsidRDefault="00A1638F">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extent cx="5200650" cy="54229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200650" cy="54229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FD"/>
    <w:rsid w:val="001463A5"/>
    <w:rsid w:val="0031065D"/>
    <w:rsid w:val="007B05FD"/>
    <w:rsid w:val="00A1638F"/>
    <w:rsid w:val="00A95C9A"/>
    <w:rsid w:val="00BF0C6C"/>
    <w:rsid w:val="00BF3E7D"/>
    <w:rsid w:val="00F535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C49CDA-06BF-459D-9A35-FBB787F4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FA34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34CC"/>
  </w:style>
  <w:style w:type="paragraph" w:styleId="Piedepgina">
    <w:name w:val="footer"/>
    <w:basedOn w:val="Normal"/>
    <w:link w:val="PiedepginaCar"/>
    <w:uiPriority w:val="99"/>
    <w:unhideWhenUsed/>
    <w:rsid w:val="00FA34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34CC"/>
  </w:style>
  <w:style w:type="table" w:styleId="Tablaconcuadrcula">
    <w:name w:val="Table Grid"/>
    <w:basedOn w:val="Tablanormal"/>
    <w:uiPriority w:val="39"/>
    <w:rsid w:val="00FA3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34CC"/>
    <w:pPr>
      <w:ind w:left="720"/>
      <w:contextualSpacing/>
    </w:pPr>
  </w:style>
  <w:style w:type="character" w:styleId="Hipervnculo">
    <w:name w:val="Hyperlink"/>
    <w:basedOn w:val="Fuentedeprrafopredeter"/>
    <w:uiPriority w:val="99"/>
    <w:unhideWhenUsed/>
    <w:rsid w:val="00FA34CC"/>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rgentinaclearing.com.ar" TargetMode="External"/><Relationship Id="rId3" Type="http://schemas.openxmlformats.org/officeDocument/2006/relationships/settings" Target="settings.xml"/><Relationship Id="rId7" Type="http://schemas.openxmlformats.org/officeDocument/2006/relationships/hyperlink" Target="http://www.matbarofex.com.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rgentinaclearing.com.ar" TargetMode="External"/><Relationship Id="rId1" Type="http://schemas.openxmlformats.org/officeDocument/2006/relationships/hyperlink" Target="http://www.matbarofex.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CXh3pYCgUeUczuPfnqZDuO2hMw==">AMUW2mWDBA2ahuLrrcgcA5AhPWp4GbddyTaAkSXDuBWYuTq0s3Zn3VkXaRI+0CwYJhZ23WMSrtOK74oHArqMpfFzRNwr2MYi5OE8SSC9Ug2GK0yT2Z7jFLzKoZgSPQoD2D0LLA9Z2rjd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658</Words>
  <Characters>3619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Mainetti</dc:creator>
  <cp:lastModifiedBy>Andres Mainetti</cp:lastModifiedBy>
  <cp:revision>5</cp:revision>
  <dcterms:created xsi:type="dcterms:W3CDTF">2022-05-04T20:17:00Z</dcterms:created>
  <dcterms:modified xsi:type="dcterms:W3CDTF">2022-05-30T18:21:00Z</dcterms:modified>
</cp:coreProperties>
</file>