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V5.2023.05.18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Mandato de Registración Operaciones OTC MtR Agro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PARTE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CONTRAPARTE 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(2)</w:t>
            </w:r>
          </w:p>
        </w:tc>
      </w:tr>
      <w:tr>
        <w:trPr>
          <w:cantSplit w:val="0"/>
          <w:trHeight w:val="1951.3671875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Denominación: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CUIT: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Dirección correo electrónico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Denominación: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CUIT: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Dirección correo electrónico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(3)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(1) Cliente del ALYC </w:t>
      </w:r>
    </w:p>
    <w:p w:rsidR="00000000" w:rsidDel="00000000" w:rsidP="00000000" w:rsidRDefault="00000000" w:rsidRPr="00000000" w14:paraId="00000010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(2) Cliente de (1)</w:t>
      </w:r>
    </w:p>
    <w:p w:rsidR="00000000" w:rsidDel="00000000" w:rsidP="00000000" w:rsidRDefault="00000000" w:rsidRPr="00000000" w14:paraId="00000011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(3) Por este medio serán válidas todas las comunicaciones y confirmaciones remitidas. Asimismo, se podrán impartir instrucciones al Participante OTC:</w:t>
        <w:tab/>
      </w:r>
    </w:p>
    <w:p w:rsidR="00000000" w:rsidDel="00000000" w:rsidP="00000000" w:rsidRDefault="00000000" w:rsidRPr="00000000" w14:paraId="00000012">
      <w:pPr>
        <w:tabs>
          <w:tab w:val="left" w:leader="none" w:pos="8640"/>
        </w:tabs>
        <w:spacing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y Fecha………………………………..…………….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(DENOMINACIÓN SOCIAL DEL ALYC)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17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y de acuerdo con lo previsto en la Ley de Financiamiento Productivo N° 27.440, el “Aviso N° 2” de Argentina Clearing y Registro S.A. (“ACyRSA”), el “Instructivo de Registro  OTC MtR” y los “Términos y Condiciones para  Operaciones de Futuros y Opciones OTC MtR Agro ”, estos tres últimos documentos publicados en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www.argentinaclearing.com.ar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 otorgamos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mediante la presente mandato suficiente a Ud. a los fines de remitir todo tipo de órdenes, instrucciones, requerimientos y demás comunicaciones vinculadas a las Operaciones OTC en las que quienes suscriben la presente sean Parte y Contraparte Compradora o Vendedora y viceversa, incluyendo sin limitación la contratación de los Servicios ofrecidos por MtR y/o ACyRSA para el Registro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Valuación de Operaciones OTC.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parte y contraparte podrán cancelar la operación OTC registrada, conforme lo establecido en el artículo “Cancelación de las operaciones” de los “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Términos y Condiciones para Operaciones de Futuros y Opciones de  OTC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MtR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sobre Subyacentes de Futuros y Opciones listados en Matba Rofex; la cancelación podrá ser realizada anticipadamente o  al vencimiento ya sea por diferencia de precio o por entrega del producto subyacente. </w:t>
      </w:r>
    </w:p>
    <w:p w:rsidR="00000000" w:rsidDel="00000000" w:rsidP="00000000" w:rsidRDefault="00000000" w:rsidRPr="00000000" w14:paraId="0000001A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Asimismo, este mandato será irrevocable en los términos del artículo 1330 del Código Civil y Comercial a los fines de cancelar anticipadamente una o varias Operaciones OTC registradas en el marco expuesto precedentemente ante un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Supuesto de Incumplimiento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 vigencia hasta tanto se liquiden en su totalidad las operaciones involucradas en dicho incumplimiento, el cual generará los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Efectos de Incumplimiento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entenderá por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“Supuesto de Incumplimiento”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los siguientes: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line="240" w:lineRule="auto"/>
        <w:ind w:left="720" w:right="125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Incumplimiento de pago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en relación a cualquier importe o transferencia de activos en la fecha en que debía llevarse a cabo, siempre que dicho incumplimiento no haya sido remediado en su totalidad dentro de las setenta y dos (72) horas hábiles luego de ocurrida la mora.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before="0" w:line="240" w:lineRule="auto"/>
        <w:ind w:left="720" w:right="12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Incumplimiento de cualquier otra obligación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bajo los Términos y Condiciones mencionados , incluyendo declaraciones falsas o incorrectas.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before="0" w:line="240" w:lineRule="auto"/>
        <w:ind w:left="720" w:right="12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Fusión, escisión o transferencia de fondo de comercio.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Parte que realice acto alguno al cual, conforme la Ley General de Sociedades N° 19.550,  su continuadora y modificatorias, la Ley Nº  11.867, o cualquier ley o norma en materia de fusiones, transferencia de fondos de comercio, escisiones, reorganizaciones o reducción de capital, podrían oponerse sus respectivos acreedores.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0" w:line="240" w:lineRule="auto"/>
        <w:ind w:left="720" w:right="12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Condena en materia de lavado de dinero y/o financiamiento del terrorismo.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caso de ser condenado por incumplimiento a la leyes de prevención del lavado de dinero y financiamiento del terrorismo (Ley N° 25.246, y modificatorias, y sus normas complementarias).</w:t>
      </w:r>
    </w:p>
    <w:p w:rsidR="00000000" w:rsidDel="00000000" w:rsidP="00000000" w:rsidRDefault="00000000" w:rsidRPr="00000000" w14:paraId="00000020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entenderá por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“Efectos del Incumplimiento”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aquel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Supuesto de Incumplimiento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atribuible a una de las Partes de una Operación OTC, ocasión en la cual el Registrante deberá notificar a MtR y/o ACyRSA a los fines de que proceda a dar por canceladas todas las Registraciones en vigencia no vencidas a la fecha de la notificación, sin perjuicio de cualquier otro derecho que le corresponda bajo la ley aplicable con motivo del acontecimiento del Supuesto de Incumplimiento de que se trate. </w:t>
      </w:r>
    </w:p>
    <w:p w:rsidR="00000000" w:rsidDel="00000000" w:rsidP="00000000" w:rsidRDefault="00000000" w:rsidRPr="00000000" w14:paraId="00000021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Anexo I se podrán incluir cláusulas particulares adicionales del negocio conforme los principios de los Términos y Condiciones mencionados.</w:t>
      </w:r>
    </w:p>
    <w:p w:rsidR="00000000" w:rsidDel="00000000" w:rsidP="00000000" w:rsidRDefault="00000000" w:rsidRPr="00000000" w14:paraId="00000022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</w:t>
        <w:tab/>
        <w:tab/>
        <w:tab/>
        <w:t xml:space="preserve">------------------------------------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Firma y aclaración PARTE A</w:t>
        <w:tab/>
        <w:tab/>
        <w:tab/>
        <w:t xml:space="preserve">Firma y aclaración CONTRAPARTE B</w:t>
        <w:tab/>
        <w:tab/>
        <w:tab/>
        <w:t xml:space="preserve">  </w:t>
      </w:r>
    </w:p>
    <w:p w:rsidR="00000000" w:rsidDel="00000000" w:rsidP="00000000" w:rsidRDefault="00000000" w:rsidRPr="00000000" w14:paraId="00000026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1" w:line="240" w:lineRule="auto"/>
        <w:ind w:left="0" w:right="120" w:firstLine="0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(Opcional)</w:t>
      </w:r>
    </w:p>
    <w:p w:rsidR="00000000" w:rsidDel="00000000" w:rsidP="00000000" w:rsidRDefault="00000000" w:rsidRPr="00000000" w14:paraId="00000048">
      <w:pPr>
        <w:widowControl w:val="0"/>
        <w:spacing w:before="1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1" w:line="240" w:lineRule="auto"/>
        <w:ind w:left="0" w:right="1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Otras cláusulas de derechos y obligaciones de las partes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rgentinaclearing.com.ar" TargetMode="External"/><Relationship Id="rId8" Type="http://schemas.openxmlformats.org/officeDocument/2006/relationships/hyperlink" Target="https://argentinaclearing.com.ar/docs/terminos-y-condiciones-o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/kNjV7enEM7OQwIN3JZJRRTeg==">CgMxLjA4AGooChRzdWdnZXN0Lmx4b2xoeDRneHc1NBIQQW5kcsOpcyBNYWluZXR0aWooChRzdWdnZXN0LjQzaW1mcXlreTE1bBIQQW5kcsOpcyBNYWluZXR0aWooChRzdWdnZXN0LnQ0eDRubGpncDFoYxIQQW5kcsOpcyBNYWluZXR0aWooChRzdWdnZXN0Lm5udDhwNjR3NWdpNxIQQW5kcsOpcyBNYWluZXR0aWooChRzdWdnZXN0Lm5tYTBmNnZkNTZqOBIQQW5kcsOpcyBNYWluZXR0aWooChRzdWdnZXN0LmVzMjNxbjNyMHUxNBIQQW5kcsOpcyBNYWluZXR0aWooChRzdWdnZXN0LnUwMTg3bTM4aWxzOBIQQW5kcsOpcyBNYWluZXR0aWooChRzdWdnZXN0LjdtaG1kd3hxbGFybhIQQW5kcsOpcyBNYWluZXR0aWooChRzdWdnZXN0Ljhva2Exc2pyb2t4ZhIQQW5kcsOpcyBNYWluZXR0aWonChNzdWdnZXN0LnZhN2kweDJlcmNwEhBBbmRyw6lzIE1haW5ldHRpaigKFHN1Z2dlc3QuYTZlM2EwY2drMTRqEhBBbmRyw6lzIE1haW5ldHRpaigKFHN1Z2dlc3QuaXBmZWFtaTR1c2RtEhBBbmRyw6lzIE1haW5ldHRpaigKFHN1Z2dlc3QubXcwNWZwMnd5bWR2EhBBbmRyw6lzIE1haW5ldHRpciExVUFGX3p6cEw3ZkkxbThyS0p4MFlwYlQwT25JM0pzV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